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893"/>
      </w:pPr>
      <w:r>
        <w:rPr>
          <w:rFonts w:eastAsia="Calibri"/>
          <w:b/>
          <w:bCs/>
          <w:szCs w:val="28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879661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893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893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12.11</w:t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.2025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pStyle w:val="8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и на сайте Управления</w:t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5"/>
        <w:jc w:val="both"/>
        <w:rPr>
          <w:rFonts w:ascii="Tinos" w:hAnsi="Tinos" w:eastAsia="Tinos" w:cs="Tinos"/>
          <w:b w:val="0"/>
          <w:bCs/>
          <w:i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</w:r>
    </w:p>
    <w:p>
      <w:pPr>
        <w:pStyle w:val="875"/>
        <w:jc w:val="both"/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</w:rPr>
        <w:t xml:space="preserve">Почему нужно регистрировать свои права на недвижимость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?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</w:r>
    </w:p>
    <w:p>
      <w:pPr>
        <w:ind w:left="709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Права на недвижимое имущество и сделки с ним затрагивают интересы практически всех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ъ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публичных субъектов,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власти.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themeColor="background1" w:fill="ffffff" w:themeFill="background1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Правительством Российской Федерации Росреестру,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рганам государственной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органам местного самоуправления поставлена задача по наполнению ЕГРН сведениями в максимально кратчайшие сроки.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231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Управлением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Росреестра по Алтайскому краю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регулярной основе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проводится анализ объектов недвижимости, в отношении которых в ЕГРН отсутствуют права.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231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частности, Управлением в октябре 2025 выявлено более 1300 помещений в многоквартирных домах, построенных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привлечением средст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участников долевого строительства и введенных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эксплуатацию до 01.03.2025.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231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Информация размещена на официальном сайте Росреестра по ссылке </w:t>
      </w:r>
      <w:hyperlink r:id="rId11" w:tooltip="https://rosreestr.gov.ru/open-service/statistika-i-analitika/perechen-pomeshcheniy-bez-prav-raspolozhennykh-v-mkd-postroennykh-po-ddu-vvedennykh-v-ekspluatatsiyu/" w:history="1">
        <w:r>
          <w:rPr>
            <w:rStyle w:val="87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single"/>
          </w:rPr>
          <w:t xml:space="preserve">https://rosreestr.gov.ru/open-service/statistika-i-analitika/perechen-pomeshcheniy-bez-prav-raspolozhennykh-v-mkd-postroennykh-po-ddu-vvedennykh-v-ekspluatatsiyu/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Следует отметить, что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зарегистрированное право можно оспорить только в судебном порядке, в связи с чем,  факт регистрации прав  в ЕГРН гарантирует защиту права собственнику,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возможность беспрепятственно и оперативно  совершать любые сделки: купля-продажа, дарение, мена, аренда, ипотека.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полных и точных сведений  в ЕГРН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позволяют уполномоченным органам оперативно получать информацию и своевременно осуществлять государственные и муниципальные услуги, в том числе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компенсационным выплатам, проводить мероприятия в случае утраты объектов недвижимости в результате пожаров, наводнений и иных стихийных бедствий и т.д.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Нотариусы при наличии сведений в ЕГРН имеют возможность достоверно определять наследственное имущество, что гарантирует последующее оформление прав на недвижимость наследников.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Кроме того, отмечаем, что в случае отсутствия зарегистрированных прав на земельный участок,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 истечении определенного периода времени может быть снят с кадастрового учета, что усложнит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 дальнейшем оформление на него прав и повлечет дополнительные финансовые затраты на повторное оформление документов в целях постановки участка на кадастровый учет.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Также обращаем внимание, что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недвижимое имущество, права на которое не зарегистрированы, не защищено от мошеннических действий. Своевременная регистрация недвижимости позволит избежать рисков и неблагоприятных последствий.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 наличии в ЕГРН сведений о зарегистрированных правах собственник имеет право подать заявление о невозможности регистрации без личного участия.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ажным моментом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установление кадастровой стоимости в отношении зарегистрированных объектов,  что в свою очередь влечет правильное начисление налога на имущество.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Напоминаем, что органами местного самоуправлен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ия совместно с федеральными и региональными органами власти проводится работа по выявлению правообладателей в отношении объектов недвижимости, сведения о правах которых отсутствуют в ЕГРН, в том числе на предмет отнесения объектов к бесхозяйному имуществу.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Предлагаем всем физическим и юридическим лицам незамедлительно обратиться за регистрацией своих прав.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49325" cy="58493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5121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849325" cy="5849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0.58pt;height:460.58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1_89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89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89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89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89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3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89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4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5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89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6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89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7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>
        <w:rPr>
          <w:i/>
          <w:iCs/>
          <w:color w:val="000000"/>
          <w:sz w:val="22"/>
          <w:szCs w:val="22"/>
          <w:u w:val="none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pStyle w:val="885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pStyle w:val="885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ndale Sans UI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3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5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3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5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9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3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5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3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5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9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1"/>
    <w:link w:val="869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68"/>
    <w:next w:val="868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1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68"/>
    <w:next w:val="868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1"/>
    <w:link w:val="701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871"/>
    <w:link w:val="870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8"/>
    <w:next w:val="868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68"/>
    <w:next w:val="868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68"/>
    <w:next w:val="868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68"/>
    <w:next w:val="868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68"/>
    <w:next w:val="868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80"/>
    <w:uiPriority w:val="99"/>
  </w:style>
  <w:style w:type="character" w:styleId="724">
    <w:name w:val="Footer Char"/>
    <w:basedOn w:val="871"/>
    <w:link w:val="882"/>
    <w:uiPriority w:val="99"/>
  </w:style>
  <w:style w:type="paragraph" w:styleId="725">
    <w:name w:val="Caption"/>
    <w:basedOn w:val="868"/>
    <w:next w:val="868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82"/>
    <w:uiPriority w:val="99"/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Footnote Text Char"/>
    <w:link w:val="876"/>
    <w:uiPriority w:val="99"/>
    <w:rPr>
      <w:sz w:val="18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71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paragraph" w:styleId="869">
    <w:name w:val="Heading 1"/>
    <w:basedOn w:val="868"/>
    <w:next w:val="868"/>
    <w:link w:val="887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0">
    <w:name w:val="Heading 4"/>
    <w:basedOn w:val="868"/>
    <w:link w:val="886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>
    <w:name w:val="Hyperlink"/>
    <w:semiHidden/>
    <w:unhideWhenUsed/>
    <w:rPr>
      <w:strike w:val="0"/>
      <w:color w:val="28529d"/>
      <w:u w:val="none"/>
    </w:rPr>
  </w:style>
  <w:style w:type="paragraph" w:styleId="875" w:customStyle="1">
    <w:name w:val="ConsPlusNormal"/>
    <w:uiPriority w:val="9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76">
    <w:name w:val="footnote text"/>
    <w:basedOn w:val="868"/>
    <w:link w:val="877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Текст сноски Знак"/>
    <w:basedOn w:val="871"/>
    <w:link w:val="87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8">
    <w:name w:val="footnote reference"/>
    <w:uiPriority w:val="99"/>
    <w:qFormat/>
    <w:rPr>
      <w:vertAlign w:val="superscript"/>
    </w:rPr>
  </w:style>
  <w:style w:type="paragraph" w:styleId="879">
    <w:name w:val="List Paragraph"/>
    <w:basedOn w:val="868"/>
    <w:uiPriority w:val="99"/>
    <w:qFormat/>
    <w:pPr>
      <w:contextualSpacing/>
      <w:ind w:left="720"/>
    </w:pPr>
  </w:style>
  <w:style w:type="paragraph" w:styleId="880">
    <w:name w:val="Header"/>
    <w:basedOn w:val="868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871"/>
    <w:link w:val="880"/>
    <w:uiPriority w:val="99"/>
  </w:style>
  <w:style w:type="paragraph" w:styleId="882">
    <w:name w:val="Footer"/>
    <w:basedOn w:val="868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871"/>
    <w:link w:val="882"/>
    <w:uiPriority w:val="99"/>
  </w:style>
  <w:style w:type="character" w:styleId="884" w:customStyle="1">
    <w:name w:val="Font Style18"/>
    <w:basedOn w:val="871"/>
    <w:uiPriority w:val="99"/>
    <w:rPr>
      <w:rFonts w:ascii="Times New Roman" w:hAnsi="Times New Roman" w:cs="Times New Roman"/>
      <w:sz w:val="26"/>
      <w:szCs w:val="26"/>
    </w:rPr>
  </w:style>
  <w:style w:type="paragraph" w:styleId="885">
    <w:name w:val="Normal (Web)"/>
    <w:basedOn w:val="8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6" w:customStyle="1">
    <w:name w:val="Заголовок 4 Знак"/>
    <w:basedOn w:val="871"/>
    <w:link w:val="870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87" w:customStyle="1">
    <w:name w:val="Заголовок 1 Знак"/>
    <w:basedOn w:val="871"/>
    <w:link w:val="86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_893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rosreestr.gov.ru/open-service/statistika-i-analitika/perechen-pomeshcheniy-bez-prav-raspolozhennykh-v-mkd-postroennykh-po-ddu-vvedennykh-v-ekspluatatsiyu/" TargetMode="External"/><Relationship Id="rId12" Type="http://schemas.openxmlformats.org/officeDocument/2006/relationships/image" Target="media/image2.png"/><Relationship Id="rId13" Type="http://schemas.openxmlformats.org/officeDocument/2006/relationships/hyperlink" Target="mailto:22press_rosreestr@mail.ru" TargetMode="External"/><Relationship Id="rId14" Type="http://schemas.openxmlformats.org/officeDocument/2006/relationships/hyperlink" Target="http://www.rosreestr.gov.ru/" TargetMode="External"/><Relationship Id="rId15" Type="http://schemas.openxmlformats.org/officeDocument/2006/relationships/hyperlink" Target="https://dzen.ru/id/6392ad9bbc8b8d2fd42961a7" TargetMode="External"/><Relationship Id="rId16" Type="http://schemas.openxmlformats.org/officeDocument/2006/relationships/hyperlink" Target="https://vk.com/rosreestr_altaiskii_krai" TargetMode="External"/><Relationship Id="rId17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B263-9CA5-4C9C-8503-7BAB1380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Хайрутдинова Ольга Анатольевна</dc:creator>
  <cp:revision>15</cp:revision>
  <dcterms:created xsi:type="dcterms:W3CDTF">2024-01-15T02:29:00Z</dcterms:created>
  <dcterms:modified xsi:type="dcterms:W3CDTF">2025-11-12T08:43:21Z</dcterms:modified>
</cp:coreProperties>
</file>